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附件2</w:t>
      </w:r>
    </w:p>
    <w:p>
      <w:pPr>
        <w:spacing w:line="600" w:lineRule="exact"/>
        <w:jc w:val="center"/>
        <w:rPr>
          <w:rFonts w:ascii="Times New Roman" w:hAnsi="Times New Roman" w:eastAsia="仿宋_GB2312"/>
          <w:b/>
          <w:sz w:val="44"/>
          <w:szCs w:val="44"/>
        </w:rPr>
      </w:pPr>
      <w:r>
        <w:rPr>
          <w:rFonts w:ascii="Times New Roman" w:hAnsi="Times New Roman" w:eastAsia="仿宋_GB2312"/>
          <w:b/>
          <w:sz w:val="44"/>
          <w:szCs w:val="44"/>
        </w:rPr>
        <w:t>比选评分表</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5895"/>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jc w:val="center"/>
              <w:rPr>
                <w:rFonts w:ascii="Times New Roman" w:hAnsi="Times New Roman" w:eastAsia="黑体"/>
                <w:bCs/>
                <w:kern w:val="0"/>
                <w:sz w:val="28"/>
                <w:szCs w:val="28"/>
              </w:rPr>
            </w:pPr>
            <w:r>
              <w:rPr>
                <w:rFonts w:ascii="Times New Roman" w:hAnsi="Times New Roman" w:eastAsia="黑体"/>
                <w:bCs/>
                <w:kern w:val="0"/>
                <w:sz w:val="28"/>
                <w:szCs w:val="28"/>
              </w:rPr>
              <w:t>评分内容</w:t>
            </w:r>
          </w:p>
        </w:tc>
        <w:tc>
          <w:tcPr>
            <w:tcW w:w="5895" w:type="dxa"/>
            <w:vAlign w:val="center"/>
          </w:tcPr>
          <w:p>
            <w:pPr>
              <w:jc w:val="center"/>
              <w:rPr>
                <w:rFonts w:ascii="Times New Roman" w:hAnsi="Times New Roman" w:eastAsia="黑体"/>
                <w:bCs/>
                <w:kern w:val="0"/>
                <w:sz w:val="28"/>
                <w:szCs w:val="28"/>
              </w:rPr>
            </w:pPr>
            <w:r>
              <w:rPr>
                <w:rFonts w:ascii="Times New Roman" w:hAnsi="Times New Roman" w:eastAsia="黑体"/>
                <w:bCs/>
                <w:kern w:val="0"/>
                <w:sz w:val="28"/>
                <w:szCs w:val="28"/>
              </w:rPr>
              <w:t>评分规则</w:t>
            </w:r>
          </w:p>
        </w:tc>
        <w:tc>
          <w:tcPr>
            <w:tcW w:w="1608" w:type="dxa"/>
            <w:vAlign w:val="center"/>
          </w:tcPr>
          <w:p>
            <w:pPr>
              <w:jc w:val="center"/>
              <w:rPr>
                <w:rFonts w:ascii="Times New Roman" w:hAnsi="Times New Roman" w:eastAsia="黑体"/>
                <w:bCs/>
                <w:kern w:val="0"/>
                <w:sz w:val="28"/>
                <w:szCs w:val="28"/>
              </w:rPr>
            </w:pPr>
            <w:r>
              <w:rPr>
                <w:rFonts w:ascii="Times New Roman" w:hAnsi="Times New Roman" w:eastAsia="黑体"/>
                <w:bCs/>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restart"/>
            <w:vAlign w:val="center"/>
          </w:tcPr>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比选申请人</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综合素质</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（20分）</w:t>
            </w: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1.事务所近三年担任常年</w:t>
            </w:r>
            <w:r>
              <w:rPr>
                <w:rFonts w:hint="eastAsia" w:ascii="Times New Roman" w:hAnsi="Times New Roman" w:eastAsia="仿宋_GB2312"/>
                <w:bCs/>
                <w:kern w:val="0"/>
                <w:sz w:val="28"/>
                <w:szCs w:val="28"/>
              </w:rPr>
              <w:t>法律</w:t>
            </w:r>
            <w:r>
              <w:rPr>
                <w:rFonts w:ascii="Times New Roman" w:hAnsi="Times New Roman" w:eastAsia="仿宋_GB2312"/>
                <w:bCs/>
                <w:kern w:val="0"/>
                <w:sz w:val="28"/>
                <w:szCs w:val="28"/>
              </w:rPr>
              <w:t>顾问的国有资本运营公司（地级市及以上，子公司和关联公司不重复计算，有特殊业绩的除外，下同）数量（10分）：</w:t>
            </w:r>
          </w:p>
          <w:p>
            <w:pPr>
              <w:spacing w:line="320" w:lineRule="exact"/>
              <w:jc w:val="left"/>
              <w:rPr>
                <w:rFonts w:ascii="Times New Roman" w:hAnsi="Times New Roman" w:eastAsia="仿宋_GB2312"/>
                <w:bCs/>
                <w:kern w:val="0"/>
                <w:sz w:val="28"/>
                <w:szCs w:val="28"/>
              </w:rPr>
            </w:pPr>
            <w:r>
              <w:rPr>
                <w:rFonts w:ascii="Times New Roman" w:hAnsi="Times New Roman" w:eastAsia="仿宋_GB2312"/>
                <w:color w:val="000000"/>
                <w:kern w:val="0"/>
                <w:sz w:val="28"/>
                <w:szCs w:val="28"/>
              </w:rPr>
              <w:t>每有1家计2分，满分10分，无则不得分。</w:t>
            </w:r>
          </w:p>
        </w:tc>
        <w:tc>
          <w:tcPr>
            <w:tcW w:w="1608" w:type="dxa"/>
            <w:vAlign w:val="center"/>
          </w:tcPr>
          <w:p>
            <w:pPr>
              <w:jc w:val="center"/>
              <w:rPr>
                <w:rFonts w:hint="eastAsia" w:ascii="Times New Roman" w:hAnsi="Times New Roman" w:eastAsia="仿宋"/>
                <w:color w:val="000000"/>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2.事务所近三年为</w:t>
            </w:r>
            <w:r>
              <w:rPr>
                <w:rFonts w:hint="eastAsia" w:ascii="Times New Roman" w:hAnsi="Times New Roman" w:eastAsia="仿宋_GB2312"/>
                <w:bCs/>
                <w:kern w:val="0"/>
                <w:sz w:val="28"/>
                <w:szCs w:val="28"/>
              </w:rPr>
              <w:t>基金管理人及所管理的基金</w:t>
            </w:r>
            <w:r>
              <w:rPr>
                <w:rFonts w:ascii="Times New Roman" w:hAnsi="Times New Roman" w:eastAsia="仿宋_GB2312"/>
                <w:bCs/>
                <w:kern w:val="0"/>
                <w:sz w:val="28"/>
                <w:szCs w:val="28"/>
              </w:rPr>
              <w:t>提供</w:t>
            </w:r>
            <w:r>
              <w:rPr>
                <w:rFonts w:hint="eastAsia" w:ascii="Times New Roman" w:hAnsi="Times New Roman" w:eastAsia="仿宋_GB2312"/>
                <w:bCs/>
                <w:kern w:val="0"/>
                <w:sz w:val="28"/>
                <w:szCs w:val="28"/>
              </w:rPr>
              <w:t>Ambers系统日常更新、专项变更、信息披露等咨询及服务</w:t>
            </w:r>
            <w:r>
              <w:rPr>
                <w:rFonts w:ascii="Times New Roman" w:hAnsi="Times New Roman" w:eastAsia="仿宋_GB2312"/>
                <w:bCs/>
                <w:kern w:val="0"/>
                <w:sz w:val="28"/>
                <w:szCs w:val="28"/>
              </w:rPr>
              <w:t>情况（6分）：</w:t>
            </w:r>
          </w:p>
          <w:p>
            <w:pPr>
              <w:spacing w:line="320" w:lineRule="exact"/>
              <w:jc w:val="left"/>
              <w:rPr>
                <w:rFonts w:ascii="Times New Roman" w:hAnsi="Times New Roman" w:eastAsia="仿宋_GB2312"/>
                <w:bCs/>
                <w:kern w:val="0"/>
                <w:sz w:val="28"/>
                <w:szCs w:val="28"/>
              </w:rPr>
            </w:pPr>
            <w:r>
              <w:rPr>
                <w:rFonts w:ascii="Times New Roman" w:hAnsi="Times New Roman" w:eastAsia="仿宋_GB2312"/>
                <w:color w:val="000000"/>
                <w:kern w:val="0"/>
                <w:sz w:val="28"/>
                <w:szCs w:val="28"/>
              </w:rPr>
              <w:t>每有1次计1分，满分6分，无则不得分。</w:t>
            </w:r>
          </w:p>
        </w:tc>
        <w:tc>
          <w:tcPr>
            <w:tcW w:w="1608" w:type="dxa"/>
            <w:vAlign w:val="center"/>
          </w:tcPr>
          <w:p>
            <w:pPr>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kern w:val="0"/>
                <w:sz w:val="28"/>
                <w:szCs w:val="28"/>
              </w:rPr>
            </w:pPr>
            <w:r>
              <w:rPr>
                <w:rFonts w:hint="eastAsia" w:ascii="Times New Roman" w:hAnsi="Times New Roman" w:eastAsia="仿宋_GB2312"/>
                <w:bCs/>
                <w:color w:val="000000"/>
                <w:kern w:val="0"/>
                <w:sz w:val="28"/>
                <w:szCs w:val="28"/>
              </w:rPr>
              <w:t>3</w:t>
            </w:r>
            <w:r>
              <w:rPr>
                <w:rFonts w:ascii="Times New Roman" w:hAnsi="Times New Roman" w:eastAsia="仿宋_GB2312"/>
                <w:bCs/>
                <w:color w:val="000000"/>
                <w:kern w:val="0"/>
                <w:sz w:val="28"/>
                <w:szCs w:val="28"/>
              </w:rPr>
              <w:t>.</w:t>
            </w:r>
            <w:r>
              <w:rPr>
                <w:rFonts w:hint="eastAsia" w:ascii="Times New Roman" w:hAnsi="Times New Roman" w:eastAsia="仿宋_GB2312"/>
                <w:bCs/>
                <w:color w:val="000000"/>
                <w:kern w:val="0"/>
                <w:sz w:val="28"/>
                <w:szCs w:val="28"/>
              </w:rPr>
              <w:t>事务所近三年为基金管理人所管理的基金所投资的项目提供的投后管理咨询服务情况（4</w:t>
            </w:r>
            <w:r>
              <w:rPr>
                <w:rFonts w:hint="eastAsia" w:ascii="Times New Roman" w:hAnsi="Times New Roman" w:eastAsia="仿宋_GB2312"/>
                <w:bCs/>
                <w:kern w:val="0"/>
                <w:sz w:val="28"/>
                <w:szCs w:val="28"/>
              </w:rPr>
              <w:t>分）</w:t>
            </w:r>
          </w:p>
          <w:p>
            <w:pPr>
              <w:spacing w:line="320" w:lineRule="exact"/>
              <w:jc w:val="left"/>
              <w:rPr>
                <w:kern w:val="0"/>
                <w:sz w:val="20"/>
              </w:rPr>
            </w:pPr>
            <w:r>
              <w:rPr>
                <w:rFonts w:ascii="Times New Roman" w:hAnsi="Times New Roman" w:eastAsia="仿宋_GB2312"/>
                <w:bCs/>
                <w:kern w:val="0"/>
                <w:sz w:val="28"/>
                <w:szCs w:val="28"/>
              </w:rPr>
              <w:t>每有1次计1分，满分4分，无则不得分。</w:t>
            </w:r>
          </w:p>
        </w:tc>
        <w:tc>
          <w:tcPr>
            <w:tcW w:w="1608" w:type="dxa"/>
            <w:vAlign w:val="center"/>
          </w:tcPr>
          <w:p>
            <w:pPr>
              <w:spacing w:line="276" w:lineRule="auto"/>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restart"/>
            <w:vAlign w:val="center"/>
          </w:tcPr>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服务团队</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专业水平</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（25分）</w:t>
            </w: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color w:val="000000"/>
                <w:kern w:val="0"/>
                <w:sz w:val="28"/>
                <w:szCs w:val="28"/>
              </w:rPr>
              <w:t>1.服务团队成员平均执业年限</w:t>
            </w:r>
            <w:r>
              <w:rPr>
                <w:rFonts w:ascii="Times New Roman" w:hAnsi="Times New Roman" w:eastAsia="仿宋_GB2312"/>
                <w:bCs/>
                <w:kern w:val="0"/>
                <w:sz w:val="28"/>
                <w:szCs w:val="28"/>
              </w:rPr>
              <w:t>（3分）：</w:t>
            </w:r>
          </w:p>
          <w:p>
            <w:pPr>
              <w:spacing w:line="320" w:lineRule="exact"/>
              <w:jc w:val="left"/>
              <w:rPr>
                <w:rFonts w:ascii="Times New Roman" w:hAnsi="Times New Roman" w:eastAsia="仿宋_GB2312"/>
                <w:color w:val="000000"/>
                <w:kern w:val="0"/>
                <w:sz w:val="28"/>
                <w:szCs w:val="28"/>
              </w:rPr>
            </w:pPr>
            <w:r>
              <w:rPr>
                <w:rFonts w:ascii="Times New Roman" w:hAnsi="Times New Roman" w:eastAsia="仿宋_GB2312"/>
                <w:kern w:val="0"/>
                <w:sz w:val="28"/>
                <w:szCs w:val="28"/>
              </w:rPr>
              <w:t>5年以上计3分，3-5年计2分，3年以下计1分</w:t>
            </w:r>
            <w:r>
              <w:rPr>
                <w:rFonts w:ascii="Times New Roman" w:hAnsi="Times New Roman" w:eastAsia="仿宋_GB2312"/>
                <w:bCs/>
                <w:kern w:val="0"/>
                <w:sz w:val="28"/>
                <w:szCs w:val="28"/>
              </w:rPr>
              <w:t>。</w:t>
            </w:r>
          </w:p>
        </w:tc>
        <w:tc>
          <w:tcPr>
            <w:tcW w:w="1608" w:type="dxa"/>
            <w:vAlign w:val="center"/>
          </w:tcPr>
          <w:p>
            <w:pPr>
              <w:spacing w:line="600" w:lineRule="exact"/>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color w:val="000000"/>
                <w:kern w:val="0"/>
                <w:sz w:val="28"/>
                <w:szCs w:val="28"/>
              </w:rPr>
              <w:t>2.服务团队成员</w:t>
            </w:r>
            <w:r>
              <w:rPr>
                <w:rFonts w:ascii="Times New Roman" w:hAnsi="Times New Roman" w:eastAsia="仿宋_GB2312"/>
                <w:bCs/>
                <w:kern w:val="0"/>
                <w:sz w:val="28"/>
                <w:szCs w:val="28"/>
              </w:rPr>
              <w:t>近三年担任常年</w:t>
            </w:r>
            <w:r>
              <w:rPr>
                <w:rFonts w:hint="eastAsia" w:ascii="Times New Roman" w:hAnsi="Times New Roman" w:eastAsia="仿宋_GB2312"/>
                <w:bCs/>
                <w:kern w:val="0"/>
                <w:sz w:val="28"/>
                <w:szCs w:val="28"/>
              </w:rPr>
              <w:t>法务</w:t>
            </w:r>
            <w:r>
              <w:rPr>
                <w:rFonts w:ascii="Times New Roman" w:hAnsi="Times New Roman" w:eastAsia="仿宋_GB2312"/>
                <w:bCs/>
                <w:kern w:val="0"/>
                <w:sz w:val="28"/>
                <w:szCs w:val="28"/>
              </w:rPr>
              <w:t>顾问的国有资本运营公司数量（8分）：</w:t>
            </w:r>
          </w:p>
          <w:p>
            <w:pPr>
              <w:spacing w:line="32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每有1家计2分，满分8分，无则不得分。同一企业不重复计分。</w:t>
            </w:r>
            <w:bookmarkStart w:id="0" w:name="_GoBack"/>
            <w:bookmarkEnd w:id="0"/>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3.服务团队成员近三年为</w:t>
            </w:r>
            <w:r>
              <w:rPr>
                <w:rFonts w:ascii="Times New Roman" w:hAnsi="Times New Roman" w:eastAsia="仿宋_GB2312"/>
                <w:bCs/>
                <w:color w:val="000000"/>
                <w:kern w:val="0"/>
                <w:sz w:val="28"/>
                <w:szCs w:val="28"/>
              </w:rPr>
              <w:t>基金管理人</w:t>
            </w:r>
            <w:r>
              <w:rPr>
                <w:rFonts w:hint="eastAsia" w:ascii="Times New Roman" w:hAnsi="Times New Roman" w:eastAsia="仿宋_GB2312"/>
                <w:bCs/>
                <w:color w:val="000000"/>
                <w:kern w:val="0"/>
                <w:sz w:val="28"/>
                <w:szCs w:val="28"/>
              </w:rPr>
              <w:t>及所管理的基金</w:t>
            </w:r>
            <w:r>
              <w:rPr>
                <w:rFonts w:ascii="Times New Roman" w:hAnsi="Times New Roman" w:eastAsia="仿宋_GB2312"/>
                <w:color w:val="000000"/>
                <w:kern w:val="0"/>
                <w:sz w:val="28"/>
                <w:szCs w:val="28"/>
              </w:rPr>
              <w:t>提供</w:t>
            </w:r>
            <w:r>
              <w:rPr>
                <w:rFonts w:hint="eastAsia" w:ascii="Times New Roman" w:hAnsi="Times New Roman" w:eastAsia="仿宋_GB2312"/>
                <w:color w:val="000000"/>
                <w:kern w:val="0"/>
                <w:sz w:val="28"/>
                <w:szCs w:val="28"/>
              </w:rPr>
              <w:t>基金管理人/基金备案</w:t>
            </w:r>
            <w:r>
              <w:rPr>
                <w:rFonts w:ascii="Times New Roman" w:hAnsi="Times New Roman" w:eastAsia="仿宋_GB2312"/>
                <w:color w:val="000000"/>
                <w:kern w:val="0"/>
                <w:sz w:val="28"/>
                <w:szCs w:val="28"/>
              </w:rPr>
              <w:t>（8分）：</w:t>
            </w:r>
          </w:p>
          <w:p>
            <w:pPr>
              <w:spacing w:line="320" w:lineRule="exact"/>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每有1次</w:t>
            </w:r>
            <w:r>
              <w:rPr>
                <w:rFonts w:hint="eastAsia" w:ascii="Times New Roman" w:hAnsi="Times New Roman" w:eastAsia="仿宋_GB2312"/>
                <w:color w:val="000000"/>
                <w:kern w:val="0"/>
                <w:sz w:val="28"/>
                <w:szCs w:val="28"/>
              </w:rPr>
              <w:t>成功备案</w:t>
            </w:r>
            <w:r>
              <w:rPr>
                <w:rFonts w:ascii="Times New Roman" w:hAnsi="Times New Roman" w:eastAsia="仿宋_GB2312"/>
                <w:color w:val="000000"/>
                <w:kern w:val="0"/>
                <w:sz w:val="28"/>
                <w:szCs w:val="28"/>
              </w:rPr>
              <w:t>计</w:t>
            </w:r>
            <w:r>
              <w:rPr>
                <w:rFonts w:hint="eastAsia" w:ascii="Times New Roman" w:hAnsi="Times New Roman" w:eastAsia="仿宋_GB2312"/>
                <w:color w:val="000000"/>
                <w:kern w:val="0"/>
                <w:sz w:val="28"/>
                <w:szCs w:val="28"/>
                <w:lang w:val="en-US" w:eastAsia="zh-CN"/>
              </w:rPr>
              <w:t>2</w:t>
            </w:r>
            <w:r>
              <w:rPr>
                <w:rFonts w:ascii="Times New Roman" w:hAnsi="Times New Roman" w:eastAsia="仿宋_GB2312"/>
                <w:color w:val="000000"/>
                <w:kern w:val="0"/>
                <w:sz w:val="28"/>
                <w:szCs w:val="28"/>
              </w:rPr>
              <w:t>分，满分8分，无则不得分。</w:t>
            </w:r>
          </w:p>
        </w:tc>
        <w:tc>
          <w:tcPr>
            <w:tcW w:w="1608" w:type="dxa"/>
            <w:vAlign w:val="center"/>
          </w:tcPr>
          <w:p>
            <w:pPr>
              <w:pStyle w:val="2"/>
              <w:rPr>
                <w:rFonts w:hint="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4.服务团队成员工作经历（6分）：</w:t>
            </w:r>
          </w:p>
          <w:p>
            <w:pPr>
              <w:spacing w:line="320" w:lineRule="exact"/>
              <w:jc w:val="left"/>
              <w:rPr>
                <w:rFonts w:ascii="Times New Roman" w:hAnsi="Times New Roman"/>
                <w:kern w:val="0"/>
                <w:sz w:val="20"/>
              </w:rPr>
            </w:pPr>
            <w:r>
              <w:rPr>
                <w:rFonts w:ascii="Times New Roman" w:hAnsi="Times New Roman" w:eastAsia="仿宋_GB2312"/>
                <w:bCs/>
                <w:color w:val="000000"/>
                <w:kern w:val="0"/>
                <w:sz w:val="28"/>
                <w:szCs w:val="28"/>
              </w:rPr>
              <w:t>团队成员曾在</w:t>
            </w:r>
            <w:r>
              <w:rPr>
                <w:rFonts w:hint="eastAsia" w:ascii="Times New Roman" w:hAnsi="Times New Roman" w:eastAsia="仿宋_GB2312"/>
                <w:bCs/>
                <w:kern w:val="0"/>
                <w:sz w:val="28"/>
                <w:szCs w:val="28"/>
              </w:rPr>
              <w:t>Ambers系统提供重大/专项变更</w:t>
            </w:r>
            <w:r>
              <w:rPr>
                <w:rFonts w:hint="eastAsia" w:ascii="Times New Roman" w:hAnsi="Times New Roman" w:eastAsia="仿宋_GB2312"/>
                <w:bCs/>
                <w:color w:val="000000"/>
                <w:kern w:val="0"/>
                <w:sz w:val="28"/>
                <w:szCs w:val="28"/>
              </w:rPr>
              <w:t>。每成功提供</w:t>
            </w:r>
            <w:r>
              <w:rPr>
                <w:rFonts w:ascii="Times New Roman" w:hAnsi="Times New Roman" w:eastAsia="仿宋_GB2312"/>
                <w:bCs/>
                <w:color w:val="000000"/>
                <w:kern w:val="0"/>
                <w:sz w:val="28"/>
                <w:szCs w:val="28"/>
              </w:rPr>
              <w:t>1</w:t>
            </w:r>
            <w:r>
              <w:rPr>
                <w:rFonts w:hint="eastAsia" w:ascii="Times New Roman" w:hAnsi="Times New Roman" w:eastAsia="仿宋_GB2312"/>
                <w:bCs/>
                <w:color w:val="000000"/>
                <w:kern w:val="0"/>
                <w:sz w:val="28"/>
                <w:szCs w:val="28"/>
              </w:rPr>
              <w:t>次重大变更记2分，每成功提供专项变更记1分；</w:t>
            </w:r>
            <w:r>
              <w:rPr>
                <w:rFonts w:ascii="Times New Roman" w:hAnsi="Times New Roman" w:eastAsia="仿宋_GB2312"/>
                <w:bCs/>
                <w:color w:val="000000"/>
                <w:kern w:val="0"/>
                <w:sz w:val="28"/>
                <w:szCs w:val="28"/>
              </w:rPr>
              <w:t>满分6分</w:t>
            </w:r>
            <w:r>
              <w:rPr>
                <w:rFonts w:ascii="Times New Roman" w:hAnsi="Times New Roman" w:eastAsia="仿宋_GB2312"/>
                <w:color w:val="000000"/>
                <w:kern w:val="0"/>
                <w:sz w:val="28"/>
                <w:szCs w:val="28"/>
              </w:rPr>
              <w:t>，无则不得分</w:t>
            </w:r>
            <w:r>
              <w:rPr>
                <w:rFonts w:ascii="Times New Roman" w:hAnsi="Times New Roman" w:eastAsia="仿宋_GB2312"/>
                <w:bCs/>
                <w:color w:val="000000"/>
                <w:kern w:val="0"/>
                <w:sz w:val="28"/>
                <w:szCs w:val="28"/>
              </w:rPr>
              <w:t>。</w:t>
            </w:r>
          </w:p>
        </w:tc>
        <w:tc>
          <w:tcPr>
            <w:tcW w:w="1608" w:type="dxa"/>
            <w:vAlign w:val="center"/>
          </w:tcPr>
          <w:p>
            <w:pPr>
              <w:rPr>
                <w:rFonts w:hint="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color w:val="000000"/>
                <w:kern w:val="0"/>
                <w:sz w:val="28"/>
                <w:szCs w:val="28"/>
                <w:highlight w:val="none"/>
              </w:rPr>
            </w:pPr>
            <w:r>
              <w:rPr>
                <w:rFonts w:ascii="Times New Roman" w:hAnsi="Times New Roman" w:eastAsia="仿宋_GB2312"/>
                <w:bCs/>
                <w:color w:val="000000"/>
                <w:kern w:val="0"/>
                <w:sz w:val="28"/>
                <w:szCs w:val="28"/>
              </w:rPr>
              <w:t>5.为本项目提供服务的团队成员中拥</w:t>
            </w:r>
            <w:r>
              <w:rPr>
                <w:rFonts w:ascii="Times New Roman" w:hAnsi="Times New Roman" w:eastAsia="仿宋_GB2312"/>
                <w:bCs/>
                <w:color w:val="000000"/>
                <w:kern w:val="0"/>
                <w:sz w:val="28"/>
                <w:szCs w:val="28"/>
                <w:highlight w:val="none"/>
              </w:rPr>
              <w:t>有</w:t>
            </w:r>
            <w:r>
              <w:rPr>
                <w:rFonts w:hint="eastAsia" w:ascii="Times New Roman" w:hAnsi="Times New Roman" w:eastAsia="仿宋_GB2312"/>
                <w:bCs/>
                <w:color w:val="000000"/>
                <w:kern w:val="0"/>
                <w:sz w:val="28"/>
                <w:szCs w:val="28"/>
                <w:highlight w:val="none"/>
              </w:rPr>
              <w:t>国有单位或国有基金专家库成员、评审成员</w:t>
            </w:r>
            <w:r>
              <w:rPr>
                <w:rFonts w:hint="eastAsia" w:ascii="Times New Roman" w:hAnsi="Times New Roman" w:eastAsia="仿宋_GB2312"/>
                <w:bCs/>
                <w:color w:val="000000"/>
                <w:kern w:val="0"/>
                <w:sz w:val="28"/>
                <w:szCs w:val="28"/>
                <w:highlight w:val="none"/>
                <w:lang w:eastAsia="zh-CN"/>
              </w:rPr>
              <w:t>；</w:t>
            </w:r>
            <w:r>
              <w:rPr>
                <w:rFonts w:hint="eastAsia" w:ascii="Times New Roman" w:hAnsi="Times New Roman" w:eastAsia="仿宋_GB2312"/>
                <w:bCs/>
                <w:color w:val="000000"/>
                <w:kern w:val="0"/>
                <w:sz w:val="28"/>
                <w:szCs w:val="28"/>
                <w:highlight w:val="none"/>
              </w:rPr>
              <w:t>被市级以上司法部门评为优秀律师</w:t>
            </w:r>
            <w:r>
              <w:rPr>
                <w:rFonts w:hint="eastAsia" w:ascii="Times New Roman" w:hAnsi="Times New Roman" w:eastAsia="仿宋_GB2312"/>
                <w:bCs/>
                <w:color w:val="000000"/>
                <w:kern w:val="0"/>
                <w:sz w:val="28"/>
                <w:szCs w:val="28"/>
                <w:highlight w:val="none"/>
                <w:lang w:val="en-US" w:eastAsia="zh-CN"/>
              </w:rPr>
              <w:t>等荣誉，每一项计1分</w:t>
            </w:r>
            <w:r>
              <w:rPr>
                <w:rFonts w:ascii="Times New Roman" w:hAnsi="Times New Roman" w:eastAsia="仿宋_GB2312"/>
                <w:bCs/>
                <w:color w:val="000000"/>
                <w:kern w:val="0"/>
                <w:sz w:val="28"/>
                <w:szCs w:val="28"/>
                <w:highlight w:val="none"/>
              </w:rPr>
              <w:t>（3分）：</w:t>
            </w:r>
          </w:p>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highlight w:val="none"/>
              </w:rPr>
              <w:t>5</w:t>
            </w:r>
            <w:r>
              <w:rPr>
                <w:rFonts w:hint="eastAsia" w:ascii="Times New Roman" w:hAnsi="Times New Roman" w:eastAsia="仿宋_GB2312"/>
                <w:bCs/>
                <w:kern w:val="0"/>
                <w:sz w:val="28"/>
                <w:szCs w:val="28"/>
                <w:highlight w:val="none"/>
                <w:lang w:val="en-US" w:eastAsia="zh-CN"/>
              </w:rPr>
              <w:t>项</w:t>
            </w:r>
            <w:r>
              <w:rPr>
                <w:rFonts w:ascii="Times New Roman" w:hAnsi="Times New Roman" w:eastAsia="仿宋_GB2312"/>
                <w:bCs/>
                <w:kern w:val="0"/>
                <w:sz w:val="28"/>
                <w:szCs w:val="28"/>
                <w:highlight w:val="none"/>
              </w:rPr>
              <w:t>以上计3分，3-4</w:t>
            </w:r>
            <w:r>
              <w:rPr>
                <w:rFonts w:hint="eastAsia" w:ascii="Times New Roman" w:hAnsi="Times New Roman" w:eastAsia="仿宋_GB2312"/>
                <w:bCs/>
                <w:kern w:val="0"/>
                <w:sz w:val="28"/>
                <w:szCs w:val="28"/>
                <w:highlight w:val="none"/>
                <w:lang w:val="en-US" w:eastAsia="zh-CN"/>
              </w:rPr>
              <w:t>项</w:t>
            </w:r>
            <w:r>
              <w:rPr>
                <w:rFonts w:ascii="Times New Roman" w:hAnsi="Times New Roman" w:eastAsia="仿宋_GB2312"/>
                <w:bCs/>
                <w:kern w:val="0"/>
                <w:sz w:val="28"/>
                <w:szCs w:val="28"/>
                <w:highlight w:val="none"/>
              </w:rPr>
              <w:t>计2分，1-2</w:t>
            </w:r>
            <w:r>
              <w:rPr>
                <w:rFonts w:hint="eastAsia" w:ascii="Times New Roman" w:hAnsi="Times New Roman" w:eastAsia="仿宋_GB2312"/>
                <w:bCs/>
                <w:kern w:val="0"/>
                <w:sz w:val="28"/>
                <w:szCs w:val="28"/>
                <w:highlight w:val="none"/>
                <w:lang w:val="en-US" w:eastAsia="zh-CN"/>
              </w:rPr>
              <w:t>项</w:t>
            </w:r>
            <w:r>
              <w:rPr>
                <w:rFonts w:ascii="Times New Roman" w:hAnsi="Times New Roman" w:eastAsia="仿宋_GB2312"/>
                <w:bCs/>
                <w:kern w:val="0"/>
                <w:sz w:val="28"/>
                <w:szCs w:val="28"/>
                <w:highlight w:val="none"/>
              </w:rPr>
              <w:t>计1</w:t>
            </w:r>
            <w:r>
              <w:rPr>
                <w:rFonts w:ascii="Times New Roman" w:hAnsi="Times New Roman" w:eastAsia="仿宋_GB2312"/>
                <w:bCs/>
                <w:kern w:val="0"/>
                <w:sz w:val="28"/>
                <w:szCs w:val="28"/>
              </w:rPr>
              <w:t>分，无则不得分</w:t>
            </w:r>
            <w:r>
              <w:rPr>
                <w:rFonts w:ascii="Times New Roman" w:hAnsi="Times New Roman" w:eastAsia="仿宋_GB2312"/>
                <w:bCs/>
                <w:color w:val="000000"/>
                <w:kern w:val="0"/>
                <w:sz w:val="28"/>
                <w:szCs w:val="28"/>
              </w:rPr>
              <w:t>。</w:t>
            </w:r>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restart"/>
            <w:vAlign w:val="center"/>
          </w:tcPr>
          <w:p>
            <w:pPr>
              <w:spacing w:line="400" w:lineRule="exact"/>
              <w:jc w:val="center"/>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服务方案</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color w:val="000000"/>
                <w:kern w:val="0"/>
                <w:sz w:val="28"/>
                <w:szCs w:val="28"/>
              </w:rPr>
              <w:t>（35分）</w:t>
            </w:r>
          </w:p>
        </w:tc>
        <w:tc>
          <w:tcPr>
            <w:tcW w:w="5895" w:type="dxa"/>
            <w:vAlign w:val="center"/>
          </w:tcPr>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1.方案内容（10分）：</w:t>
            </w:r>
          </w:p>
          <w:p>
            <w:pPr>
              <w:spacing w:line="320" w:lineRule="exact"/>
              <w:jc w:val="left"/>
              <w:rPr>
                <w:rFonts w:ascii="Times New Roman" w:hAnsi="Times New Roman"/>
                <w:kern w:val="0"/>
                <w:sz w:val="20"/>
              </w:rPr>
            </w:pPr>
            <w:r>
              <w:rPr>
                <w:rFonts w:ascii="Times New Roman" w:hAnsi="Times New Roman" w:eastAsia="仿宋_GB2312"/>
                <w:bCs/>
                <w:color w:val="000000"/>
                <w:kern w:val="0"/>
                <w:sz w:val="28"/>
                <w:szCs w:val="28"/>
              </w:rPr>
              <w:t>根据服务方案的完善程度、科学性，政策解读的合理性进行评分，满分10分。</w:t>
            </w:r>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2.方案针对性（15分）：</w:t>
            </w:r>
          </w:p>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根据服务方案是否符合比选人实际状况，是否逻辑清晰、观点明确，能恰当引用</w:t>
            </w:r>
            <w:r>
              <w:rPr>
                <w:rFonts w:hint="eastAsia" w:ascii="Times New Roman" w:hAnsi="Times New Roman" w:eastAsia="仿宋_GB2312"/>
                <w:bCs/>
                <w:kern w:val="0"/>
                <w:sz w:val="28"/>
                <w:szCs w:val="28"/>
              </w:rPr>
              <w:t>股权投资、基金管理相关监管</w:t>
            </w:r>
            <w:r>
              <w:rPr>
                <w:rFonts w:ascii="Times New Roman" w:hAnsi="Times New Roman" w:eastAsia="仿宋_GB2312"/>
                <w:bCs/>
                <w:kern w:val="0"/>
                <w:sz w:val="28"/>
                <w:szCs w:val="28"/>
              </w:rPr>
              <w:t>政策并提出建设性意见进行评分，满分15分。</w:t>
            </w:r>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pPr>
              <w:spacing w:line="400" w:lineRule="exact"/>
              <w:jc w:val="center"/>
              <w:rPr>
                <w:rFonts w:ascii="Times New Roman" w:hAnsi="Times New Roman" w:eastAsia="仿宋_GB2312"/>
                <w:bCs/>
                <w:kern w:val="0"/>
                <w:sz w:val="28"/>
                <w:szCs w:val="28"/>
              </w:rPr>
            </w:pPr>
          </w:p>
        </w:tc>
        <w:tc>
          <w:tcPr>
            <w:tcW w:w="5895" w:type="dxa"/>
            <w:vAlign w:val="center"/>
          </w:tcPr>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3.方案可行性（10分）：</w:t>
            </w:r>
          </w:p>
          <w:p>
            <w:pPr>
              <w:spacing w:line="320" w:lineRule="exact"/>
              <w:jc w:val="left"/>
              <w:rPr>
                <w:rFonts w:ascii="Times New Roman" w:hAnsi="Times New Roman" w:eastAsia="仿宋_GB2312"/>
                <w:bCs/>
                <w:kern w:val="0"/>
                <w:sz w:val="28"/>
                <w:szCs w:val="28"/>
              </w:rPr>
            </w:pPr>
            <w:r>
              <w:rPr>
                <w:rFonts w:ascii="Times New Roman" w:hAnsi="Times New Roman" w:eastAsia="仿宋_GB2312"/>
                <w:bCs/>
                <w:kern w:val="0"/>
                <w:sz w:val="28"/>
                <w:szCs w:val="28"/>
              </w:rPr>
              <w:t>根据服务方案的可操作性，即预期后续服务是否能按承诺保质保量完成进行评分，满分10分。</w:t>
            </w:r>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比选报价</w:t>
            </w:r>
          </w:p>
          <w:p>
            <w:pPr>
              <w:spacing w:line="400" w:lineRule="exact"/>
              <w:jc w:val="center"/>
              <w:rPr>
                <w:rFonts w:ascii="Times New Roman" w:hAnsi="Times New Roman" w:eastAsia="仿宋_GB2312"/>
                <w:bCs/>
                <w:kern w:val="0"/>
                <w:sz w:val="28"/>
                <w:szCs w:val="28"/>
              </w:rPr>
            </w:pPr>
            <w:r>
              <w:rPr>
                <w:rFonts w:ascii="Times New Roman" w:hAnsi="Times New Roman" w:eastAsia="仿宋_GB2312"/>
                <w:bCs/>
                <w:kern w:val="0"/>
                <w:sz w:val="28"/>
                <w:szCs w:val="28"/>
              </w:rPr>
              <w:t>（20分）</w:t>
            </w:r>
          </w:p>
        </w:tc>
        <w:tc>
          <w:tcPr>
            <w:tcW w:w="5895" w:type="dxa"/>
            <w:vAlign w:val="center"/>
          </w:tcPr>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本项目以符合要求的比选申请人报价的算术平均值作为作为基准计算报价偏差并确定得分：</w:t>
            </w:r>
          </w:p>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报价偏差（绝对值）=丨（比选申请人最终报价÷基准）×100%-1丨；</w:t>
            </w:r>
          </w:p>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报价偏差≤10%的，计满分20分；</w:t>
            </w:r>
          </w:p>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10%＜报价偏差≤20%的，计16分；</w:t>
            </w:r>
          </w:p>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20%＜报价偏差≤30%的，计12分；</w:t>
            </w:r>
          </w:p>
          <w:p>
            <w:pPr>
              <w:spacing w:line="320" w:lineRule="exact"/>
              <w:jc w:val="left"/>
              <w:rPr>
                <w:rFonts w:ascii="Times New Roman" w:hAnsi="Times New Roman"/>
                <w:kern w:val="0"/>
                <w:sz w:val="20"/>
              </w:rPr>
            </w:pPr>
            <w:r>
              <w:rPr>
                <w:rFonts w:ascii="Times New Roman" w:hAnsi="Times New Roman" w:eastAsia="仿宋_GB2312"/>
                <w:bCs/>
                <w:color w:val="000000"/>
                <w:kern w:val="0"/>
                <w:sz w:val="28"/>
                <w:szCs w:val="28"/>
              </w:rPr>
              <w:t>报价偏差＞30%的，不得分。</w:t>
            </w:r>
          </w:p>
        </w:tc>
        <w:tc>
          <w:tcPr>
            <w:tcW w:w="1608" w:type="dxa"/>
            <w:vAlign w:val="center"/>
          </w:tcPr>
          <w:p>
            <w:pPr>
              <w:spacing w:line="600" w:lineRule="exact"/>
              <w:jc w:val="center"/>
              <w:rPr>
                <w:rFonts w:ascii="Times New Roman" w:hAnsi="Times New Roman"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06" w:type="dxa"/>
            <w:vMerge w:val="restart"/>
            <w:vAlign w:val="center"/>
          </w:tcPr>
          <w:p>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加分项</w:t>
            </w:r>
          </w:p>
          <w:p>
            <w:pPr>
              <w:spacing w:line="400" w:lineRule="exact"/>
              <w:jc w:val="center"/>
              <w:rPr>
                <w:rFonts w:ascii="Times New Roman" w:hAnsi="Times New Roman" w:eastAsia="仿宋_GB2312"/>
                <w:kern w:val="0"/>
                <w:sz w:val="28"/>
                <w:szCs w:val="28"/>
                <w:highlight w:val="yellow"/>
              </w:rPr>
            </w:pPr>
            <w:r>
              <w:rPr>
                <w:rFonts w:ascii="Times New Roman" w:hAnsi="Times New Roman" w:eastAsia="仿宋_GB2312"/>
                <w:kern w:val="0"/>
                <w:sz w:val="28"/>
                <w:szCs w:val="28"/>
              </w:rPr>
              <w:t>（10分）</w:t>
            </w:r>
          </w:p>
        </w:tc>
        <w:tc>
          <w:tcPr>
            <w:tcW w:w="5895" w:type="dxa"/>
            <w:vAlign w:val="center"/>
          </w:tcPr>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1.上市公司服务经验（5分）：</w:t>
            </w:r>
          </w:p>
          <w:p>
            <w:pPr>
              <w:spacing w:line="320" w:lineRule="exact"/>
              <w:jc w:val="left"/>
              <w:rPr>
                <w:rFonts w:ascii="Times New Roman" w:hAnsi="Times New Roman"/>
                <w:kern w:val="0"/>
                <w:sz w:val="20"/>
              </w:rPr>
            </w:pPr>
            <w:r>
              <w:rPr>
                <w:rFonts w:ascii="Times New Roman" w:hAnsi="Times New Roman" w:eastAsia="仿宋_GB2312"/>
                <w:bCs/>
                <w:color w:val="000000"/>
                <w:kern w:val="0"/>
                <w:sz w:val="28"/>
                <w:szCs w:val="28"/>
              </w:rPr>
              <w:t>团队成员近三年曾担任上市公司常年</w:t>
            </w:r>
            <w:r>
              <w:rPr>
                <w:rFonts w:hint="eastAsia" w:ascii="Times New Roman" w:hAnsi="Times New Roman" w:eastAsia="仿宋_GB2312"/>
                <w:bCs/>
                <w:color w:val="000000"/>
                <w:kern w:val="0"/>
                <w:sz w:val="28"/>
                <w:szCs w:val="28"/>
              </w:rPr>
              <w:t>法务</w:t>
            </w:r>
            <w:r>
              <w:rPr>
                <w:rFonts w:ascii="Times New Roman" w:hAnsi="Times New Roman" w:eastAsia="仿宋_GB2312"/>
                <w:bCs/>
                <w:color w:val="000000"/>
                <w:kern w:val="0"/>
                <w:sz w:val="28"/>
                <w:szCs w:val="28"/>
              </w:rPr>
              <w:t>顾问的，每有1家计1分；该上市公司位于德阳市境内（工商登记注册地或实际管理机构所在地，下同）的，每有1家加计1分；位于四川省其他地级市境内的，每有1家加计0.5分。满分5分，无则不得分。同一企业不重复计分。</w:t>
            </w:r>
          </w:p>
        </w:tc>
        <w:tc>
          <w:tcPr>
            <w:tcW w:w="1608" w:type="dxa"/>
          </w:tcPr>
          <w:p>
            <w:pPr>
              <w:spacing w:line="400" w:lineRule="exact"/>
              <w:jc w:val="center"/>
              <w:rPr>
                <w:rFonts w:ascii="Times New Roman" w:hAnsi="Times New Roman" w:eastAsia="仿宋_GB2312"/>
                <w:kern w:val="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706" w:type="dxa"/>
            <w:vMerge w:val="continue"/>
            <w:vAlign w:val="center"/>
          </w:tcPr>
          <w:p>
            <w:pPr>
              <w:spacing w:line="400" w:lineRule="exact"/>
              <w:jc w:val="center"/>
              <w:rPr>
                <w:rFonts w:ascii="Times New Roman" w:hAnsi="Times New Roman" w:eastAsia="仿宋_GB2312"/>
                <w:kern w:val="0"/>
                <w:sz w:val="28"/>
                <w:szCs w:val="28"/>
                <w:highlight w:val="yellow"/>
              </w:rPr>
            </w:pPr>
          </w:p>
        </w:tc>
        <w:tc>
          <w:tcPr>
            <w:tcW w:w="5895" w:type="dxa"/>
            <w:vAlign w:val="center"/>
          </w:tcPr>
          <w:p>
            <w:pPr>
              <w:spacing w:line="320" w:lineRule="exact"/>
              <w:jc w:val="left"/>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2.</w:t>
            </w:r>
            <w:r>
              <w:rPr>
                <w:rFonts w:hint="eastAsia" w:ascii="Times New Roman" w:hAnsi="Times New Roman" w:eastAsia="仿宋_GB2312"/>
                <w:bCs/>
                <w:color w:val="000000"/>
                <w:kern w:val="0"/>
                <w:sz w:val="28"/>
                <w:szCs w:val="28"/>
              </w:rPr>
              <w:t xml:space="preserve"> 社会评价良好（</w:t>
            </w:r>
            <w:r>
              <w:rPr>
                <w:rFonts w:ascii="Times New Roman" w:hAnsi="Times New Roman" w:eastAsia="仿宋_GB2312"/>
                <w:bCs/>
                <w:color w:val="000000"/>
                <w:kern w:val="0"/>
                <w:sz w:val="28"/>
                <w:szCs w:val="28"/>
              </w:rPr>
              <w:t>5分）：</w:t>
            </w:r>
          </w:p>
          <w:p>
            <w:pPr>
              <w:spacing w:line="320" w:lineRule="exact"/>
              <w:jc w:val="left"/>
              <w:rPr>
                <w:rFonts w:ascii="Times New Roman" w:hAnsi="Times New Roman" w:eastAsia="仿宋_GB2312"/>
                <w:bCs/>
                <w:color w:val="000000"/>
                <w:kern w:val="0"/>
                <w:sz w:val="28"/>
                <w:szCs w:val="28"/>
                <w:lang w:val="en-US" w:eastAsia="zh-CN"/>
              </w:rPr>
            </w:pPr>
            <w:r>
              <w:rPr>
                <w:rFonts w:hint="eastAsia" w:ascii="Times New Roman" w:hAnsi="Times New Roman" w:eastAsia="仿宋_GB2312"/>
                <w:bCs/>
                <w:color w:val="000000"/>
                <w:kern w:val="0"/>
                <w:sz w:val="28"/>
                <w:szCs w:val="28"/>
              </w:rPr>
              <w:t>事务所获得市级以上荣誉/奖励的，每有1项计1分；事务所获得省级以上荣誉/奖励的，每有1项计2分；在钱伯斯(</w:t>
            </w:r>
            <w:r>
              <w:rPr>
                <w:rFonts w:ascii="Times New Roman" w:hAnsi="Times New Roman" w:eastAsia="仿宋_GB2312"/>
                <w:bCs/>
                <w:color w:val="000000"/>
                <w:kern w:val="0"/>
                <w:sz w:val="28"/>
                <w:szCs w:val="28"/>
              </w:rPr>
              <w:t>C</w:t>
            </w:r>
            <w:r>
              <w:rPr>
                <w:rFonts w:hint="eastAsia" w:ascii="Times New Roman" w:hAnsi="Times New Roman" w:eastAsia="仿宋_GB2312"/>
                <w:bCs/>
                <w:color w:val="000000"/>
                <w:kern w:val="0"/>
                <w:sz w:val="28"/>
                <w:szCs w:val="28"/>
              </w:rPr>
              <w:t>hambers)、IFLR</w:t>
            </w:r>
            <w:r>
              <w:rPr>
                <w:rFonts w:ascii="Times New Roman" w:hAnsi="Times New Roman" w:eastAsia="仿宋_GB2312"/>
                <w:bCs/>
                <w:color w:val="000000"/>
                <w:kern w:val="0"/>
                <w:sz w:val="28"/>
                <w:szCs w:val="28"/>
              </w:rPr>
              <w:t xml:space="preserve"> </w:t>
            </w:r>
            <w:r>
              <w:rPr>
                <w:rFonts w:hint="eastAsia" w:ascii="Times New Roman" w:hAnsi="Times New Roman" w:eastAsia="仿宋_GB2312"/>
                <w:bCs/>
                <w:color w:val="000000"/>
                <w:kern w:val="0"/>
                <w:sz w:val="28"/>
                <w:szCs w:val="28"/>
              </w:rPr>
              <w:t>1000、亚洲法律杂志（Asian Legal Business）、</w:t>
            </w:r>
            <w:r>
              <w:rPr>
                <w:rFonts w:ascii="Times New Roman" w:hAnsi="Times New Roman" w:eastAsia="仿宋_GB2312"/>
                <w:bCs/>
                <w:color w:val="000000"/>
                <w:kern w:val="0"/>
                <w:sz w:val="28"/>
                <w:szCs w:val="28"/>
              </w:rPr>
              <w:t>The Legal 500</w:t>
            </w:r>
            <w:r>
              <w:rPr>
                <w:rFonts w:hint="eastAsia" w:ascii="Times New Roman" w:hAnsi="Times New Roman" w:eastAsia="仿宋_GB2312"/>
                <w:bCs/>
                <w:color w:val="000000"/>
                <w:kern w:val="0"/>
                <w:sz w:val="28"/>
                <w:szCs w:val="28"/>
              </w:rPr>
              <w:t>、亚洲法律名录（Asialaw profiles）、</w:t>
            </w:r>
            <w:r>
              <w:rPr>
                <w:rFonts w:ascii="Times New Roman" w:hAnsi="Times New Roman" w:eastAsia="仿宋_GB2312"/>
                <w:bCs/>
                <w:color w:val="000000"/>
                <w:kern w:val="0"/>
                <w:sz w:val="28"/>
                <w:szCs w:val="28"/>
              </w:rPr>
              <w:t>LEGALBAND</w:t>
            </w:r>
            <w:r>
              <w:rPr>
                <w:rFonts w:hint="eastAsia" w:ascii="Times New Roman" w:hAnsi="Times New Roman" w:eastAsia="仿宋_GB2312"/>
                <w:bCs/>
                <w:color w:val="000000"/>
                <w:kern w:val="0"/>
                <w:sz w:val="28"/>
                <w:szCs w:val="28"/>
              </w:rPr>
              <w:t>、</w:t>
            </w:r>
            <w:r>
              <w:rPr>
                <w:rFonts w:ascii="Times New Roman" w:hAnsi="Times New Roman" w:eastAsia="仿宋_GB2312"/>
                <w:bCs/>
                <w:color w:val="000000"/>
                <w:kern w:val="0"/>
                <w:sz w:val="28"/>
                <w:szCs w:val="28"/>
              </w:rPr>
              <w:t>Benchmark Litigation</w:t>
            </w:r>
            <w:r>
              <w:rPr>
                <w:rFonts w:hint="eastAsia" w:ascii="Times New Roman" w:hAnsi="Times New Roman" w:eastAsia="仿宋_GB2312"/>
                <w:bCs/>
                <w:color w:val="000000"/>
                <w:kern w:val="0"/>
                <w:sz w:val="28"/>
                <w:szCs w:val="28"/>
              </w:rPr>
              <w:t>等榜单上榜，上榜1项计</w:t>
            </w:r>
            <w:r>
              <w:rPr>
                <w:rFonts w:ascii="Times New Roman" w:hAnsi="Times New Roman" w:eastAsia="仿宋_GB2312"/>
                <w:bCs/>
                <w:color w:val="000000"/>
                <w:kern w:val="0"/>
                <w:sz w:val="28"/>
                <w:szCs w:val="28"/>
              </w:rPr>
              <w:t>2</w:t>
            </w:r>
            <w:r>
              <w:rPr>
                <w:rFonts w:hint="eastAsia" w:ascii="Times New Roman" w:hAnsi="Times New Roman" w:eastAsia="仿宋_GB2312"/>
                <w:bCs/>
                <w:color w:val="000000"/>
                <w:kern w:val="0"/>
                <w:sz w:val="28"/>
                <w:szCs w:val="28"/>
              </w:rPr>
              <w:t>分。满分5分。</w:t>
            </w:r>
          </w:p>
        </w:tc>
        <w:tc>
          <w:tcPr>
            <w:tcW w:w="1608" w:type="dxa"/>
          </w:tcPr>
          <w:p>
            <w:pPr>
              <w:spacing w:line="400" w:lineRule="exact"/>
              <w:jc w:val="center"/>
              <w:rPr>
                <w:rFonts w:ascii="Times New Roman" w:hAnsi="Times New Roman" w:eastAsia="仿宋_GB2312"/>
                <w:kern w:val="0"/>
                <w:sz w:val="28"/>
                <w:szCs w:val="28"/>
                <w:highlight w:val="yellow"/>
              </w:rPr>
            </w:pPr>
          </w:p>
        </w:tc>
      </w:tr>
    </w:tbl>
    <w:p>
      <w:pPr>
        <w:rPr>
          <w:rFonts w:ascii="Times New Roman" w:hAnsi="Times New Roman" w:eastAsia="仿宋_GB2312"/>
          <w:sz w:val="24"/>
          <w:szCs w:val="24"/>
        </w:rPr>
      </w:pPr>
      <w:r>
        <w:rPr>
          <w:rFonts w:ascii="Times New Roman" w:hAnsi="Times New Roman" w:eastAsia="仿宋_GB2312"/>
          <w:sz w:val="24"/>
          <w:szCs w:val="24"/>
        </w:rPr>
        <w:t>注：得分项有证明材料的均需提供，否则不得分；与向其他单位提供服务相关的得分项，可提供服务合同、方案文书、展示PPT</w:t>
      </w:r>
      <w:r>
        <w:rPr>
          <w:rFonts w:hint="eastAsia" w:ascii="Times New Roman" w:hAnsi="Times New Roman" w:eastAsia="仿宋_GB2312"/>
          <w:sz w:val="24"/>
          <w:szCs w:val="24"/>
        </w:rPr>
        <w:t>复印件</w:t>
      </w:r>
      <w:r>
        <w:rPr>
          <w:rFonts w:ascii="Times New Roman" w:hAnsi="Times New Roman" w:eastAsia="仿宋_GB2312"/>
          <w:sz w:val="24"/>
          <w:szCs w:val="24"/>
        </w:rPr>
        <w:t>等予以证明，涉及企业机密的非关键内容可酌情隐藏。我司有权对证明材料进行核实，伪造相关文件者无中选资格。</w:t>
      </w:r>
    </w:p>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5A"/>
    <w:rsid w:val="001056B9"/>
    <w:rsid w:val="0045595A"/>
    <w:rsid w:val="00AA4B37"/>
    <w:rsid w:val="00DC7658"/>
    <w:rsid w:val="0E6110DD"/>
    <w:rsid w:val="3363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qFormat/>
    <w:uiPriority w:val="0"/>
    <w:pPr>
      <w:spacing w:after="120"/>
    </w:pPr>
  </w:style>
  <w:style w:type="paragraph" w:styleId="3">
    <w:name w:val="annotation text"/>
    <w:basedOn w:val="1"/>
    <w:link w:val="1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character" w:customStyle="1" w:styleId="9">
    <w:name w:val="正文文本 字符"/>
    <w:basedOn w:val="7"/>
    <w:link w:val="2"/>
    <w:qFormat/>
    <w:uiPriority w:val="0"/>
    <w:rPr>
      <w:rFonts w:ascii="Calibri" w:hAnsi="Calibri" w:eastAsia="宋体" w:cs="Times New Roman"/>
      <w:szCs w:val="22"/>
    </w:rPr>
  </w:style>
  <w:style w:type="character" w:customStyle="1" w:styleId="10">
    <w:name w:val="页脚 字符"/>
    <w:basedOn w:val="7"/>
    <w:link w:val="4"/>
    <w:qFormat/>
    <w:uiPriority w:val="0"/>
    <w:rPr>
      <w:rFonts w:ascii="Calibri" w:hAnsi="Calibri" w:eastAsia="宋体" w:cs="Times New Roman"/>
      <w:sz w:val="18"/>
      <w:szCs w:val="22"/>
    </w:rPr>
  </w:style>
  <w:style w:type="character" w:customStyle="1" w:styleId="11">
    <w:name w:val="批注文字 字符"/>
    <w:basedOn w:val="7"/>
    <w:link w:val="3"/>
    <w:qFormat/>
    <w:uiPriority w:val="0"/>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205</Words>
  <Characters>1173</Characters>
  <Lines>9</Lines>
  <Paragraphs>2</Paragraphs>
  <TotalTime>15</TotalTime>
  <ScaleCrop>false</ScaleCrop>
  <LinksUpToDate>false</LinksUpToDate>
  <CharactersWithSpaces>1376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2021-12-29T10:19:00Z</dcterms:created>
  <dc:creator>TY Summer.M</dc:creator>
  <cp:lastModifiedBy>妍子</cp:lastModifiedBy>
  <dcterms:modified xsi:type="dcterms:W3CDTF">2021-12-30T10:24:00Z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F6AE6D5443FF4805B5DAB9B237564571</vt:lpwstr>
  </property>
</Properties>
</file>